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548" w:rsidRPr="009D6BF0" w:rsidRDefault="004C1ED2" w:rsidP="00AF65A2">
      <w:pPr>
        <w:pStyle w:val="OngenummerdeKopBijlage"/>
        <w:tabs>
          <w:tab w:val="num" w:pos="2552"/>
        </w:tabs>
        <w:ind w:left="1134" w:hanging="2268"/>
        <w:rPr>
          <w:b/>
        </w:rPr>
      </w:pPr>
      <w:r w:rsidRPr="009D6BF0">
        <w:rPr>
          <w:b/>
        </w:rPr>
        <w:t xml:space="preserve">Bijlage </w:t>
      </w:r>
      <w:r w:rsidR="00AF65A2" w:rsidRPr="009D6BF0">
        <w:rPr>
          <w:b/>
        </w:rPr>
        <w:t>12.</w:t>
      </w:r>
      <w:r w:rsidRPr="009D6BF0">
        <w:rPr>
          <w:b/>
        </w:rPr>
        <w:t xml:space="preserve"> </w:t>
      </w:r>
      <w:r w:rsidR="00440FD0" w:rsidRPr="009D6BF0">
        <w:rPr>
          <w:b/>
        </w:rPr>
        <w:t xml:space="preserve">Kengetallen Perceel II </w:t>
      </w:r>
    </w:p>
    <w:p w:rsidR="004C1ED2" w:rsidRPr="004C1ED2" w:rsidRDefault="004C1ED2" w:rsidP="004C1ED2">
      <w:r w:rsidRPr="004C1ED2">
        <w:t>Aan de kengetallen kunnen geen rechten worden ontleend. De kengetallen zijn ter achtergrond informatie opgenomen</w:t>
      </w:r>
      <w:r>
        <w:t xml:space="preserve"> als bijlage</w:t>
      </w:r>
      <w:r w:rsidRPr="004C1ED2">
        <w:t xml:space="preserve"> in het beschrijvend document om inzicht in de orde van grootte van de opdracht te geven.</w:t>
      </w:r>
    </w:p>
    <w:p w:rsidR="004C1ED2" w:rsidRPr="004C1ED2" w:rsidRDefault="004C1ED2" w:rsidP="004C1ED2">
      <w:r w:rsidRPr="004C1ED2">
        <w:t>Kengetallen zijn gebaseerd op huidige inzichten vanuit de aangegeven behoefte door de gebruikers voor deze aanbesteding en geanalyseerde historische gegevens van de huidige activiteiten met Waterkwaliteitsinstrumenten.</w:t>
      </w:r>
    </w:p>
    <w:p w:rsidR="003E1A69" w:rsidRDefault="004C1ED2" w:rsidP="00241548">
      <w:pPr>
        <w:rPr>
          <w:b/>
          <w:sz w:val="22"/>
          <w:szCs w:val="22"/>
        </w:rPr>
      </w:pPr>
      <w:r w:rsidRPr="004C1ED2">
        <w:t>De geboden technische oplossingen door de opdrachtnemer kunnen van invloed zijn op de kengetallen.</w:t>
      </w:r>
      <w:bookmarkStart w:id="0" w:name="_GoBack"/>
      <w:bookmarkEnd w:id="0"/>
    </w:p>
    <w:p w:rsidR="003E1A69" w:rsidRDefault="003E1A69" w:rsidP="00241548">
      <w:pPr>
        <w:rPr>
          <w:b/>
          <w:sz w:val="22"/>
          <w:szCs w:val="22"/>
        </w:rPr>
      </w:pPr>
    </w:p>
    <w:tbl>
      <w:tblPr>
        <w:tblW w:w="10065" w:type="dxa"/>
        <w:tblInd w:w="-783" w:type="dxa"/>
        <w:tblCellMar>
          <w:left w:w="70" w:type="dxa"/>
          <w:right w:w="70" w:type="dxa"/>
        </w:tblCellMar>
        <w:tblLook w:val="04A0" w:firstRow="1" w:lastRow="0" w:firstColumn="1" w:lastColumn="0" w:noHBand="0" w:noVBand="1"/>
      </w:tblPr>
      <w:tblGrid>
        <w:gridCol w:w="3119"/>
        <w:gridCol w:w="714"/>
        <w:gridCol w:w="6232"/>
      </w:tblGrid>
      <w:tr w:rsidR="003E1A69" w:rsidRPr="003E1A69" w:rsidTr="00AF65A2">
        <w:trPr>
          <w:trHeight w:val="1155"/>
        </w:trPr>
        <w:tc>
          <w:tcPr>
            <w:tcW w:w="3119" w:type="dxa"/>
            <w:tcBorders>
              <w:top w:val="nil"/>
              <w:left w:val="nil"/>
              <w:bottom w:val="nil"/>
              <w:right w:val="nil"/>
            </w:tcBorders>
            <w:shd w:val="clear" w:color="000000" w:fill="000000"/>
            <w:noWrap/>
            <w:vAlign w:val="bottom"/>
            <w:hideMark/>
          </w:tcPr>
          <w:p w:rsidR="003E1A69" w:rsidRPr="003E1A69" w:rsidRDefault="003E1A69" w:rsidP="003E1A69">
            <w:pPr>
              <w:rPr>
                <w:rFonts w:ascii="Verdana" w:eastAsia="Times New Roman" w:hAnsi="Verdana" w:cs="Times New Roman"/>
                <w:color w:val="FFFFFF"/>
                <w:lang w:eastAsia="nl-NL"/>
              </w:rPr>
            </w:pPr>
            <w:r w:rsidRPr="003E1A69">
              <w:rPr>
                <w:rFonts w:ascii="Verdana" w:eastAsia="Times New Roman" w:hAnsi="Verdana" w:cs="Times New Roman"/>
                <w:color w:val="FFFFFF"/>
                <w:lang w:eastAsia="nl-NL"/>
              </w:rPr>
              <w:t>Naam kengetal</w:t>
            </w:r>
          </w:p>
        </w:tc>
        <w:tc>
          <w:tcPr>
            <w:tcW w:w="714" w:type="dxa"/>
            <w:tcBorders>
              <w:top w:val="nil"/>
              <w:left w:val="nil"/>
              <w:bottom w:val="nil"/>
              <w:right w:val="nil"/>
            </w:tcBorders>
            <w:shd w:val="clear" w:color="000000" w:fill="000000"/>
            <w:noWrap/>
            <w:vAlign w:val="bottom"/>
            <w:hideMark/>
          </w:tcPr>
          <w:p w:rsidR="003E1A69" w:rsidRPr="003E1A69" w:rsidRDefault="003E1A69" w:rsidP="003E1A69">
            <w:pPr>
              <w:jc w:val="center"/>
              <w:rPr>
                <w:rFonts w:ascii="Verdana" w:eastAsia="Times New Roman" w:hAnsi="Verdana" w:cs="Times New Roman"/>
                <w:color w:val="FFFFFF"/>
                <w:lang w:eastAsia="nl-NL"/>
              </w:rPr>
            </w:pPr>
            <w:r w:rsidRPr="003E1A69">
              <w:rPr>
                <w:rFonts w:ascii="Verdana" w:eastAsia="Times New Roman" w:hAnsi="Verdana" w:cs="Times New Roman"/>
                <w:color w:val="FFFFFF"/>
                <w:lang w:eastAsia="nl-NL"/>
              </w:rPr>
              <w:t>Aantal</w:t>
            </w:r>
          </w:p>
        </w:tc>
        <w:tc>
          <w:tcPr>
            <w:tcW w:w="6232"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3E1A69" w:rsidRPr="003E1A69" w:rsidRDefault="003E1A69" w:rsidP="003E1A69">
            <w:pPr>
              <w:rPr>
                <w:rFonts w:ascii="Verdana" w:eastAsia="Times New Roman" w:hAnsi="Verdana" w:cs="Times New Roman"/>
                <w:color w:val="FFFFFF"/>
                <w:lang w:eastAsia="nl-NL"/>
              </w:rPr>
            </w:pPr>
            <w:r w:rsidRPr="003E1A69">
              <w:rPr>
                <w:rFonts w:ascii="Verdana" w:eastAsia="Times New Roman" w:hAnsi="Verdana" w:cs="Times New Roman"/>
                <w:color w:val="FFFFFF"/>
                <w:lang w:eastAsia="nl-NL"/>
              </w:rPr>
              <w:t>Toelichting</w:t>
            </w:r>
          </w:p>
        </w:tc>
      </w:tr>
      <w:tr w:rsidR="003E1A69" w:rsidRPr="003E1A69" w:rsidTr="00AF65A2">
        <w:trPr>
          <w:trHeight w:val="1187"/>
        </w:trPr>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 xml:space="preserve">Gemiddeld aantal complete systemen structureel in eigendom </w:t>
            </w:r>
            <w:r>
              <w:rPr>
                <w:rFonts w:ascii="Verdana" w:eastAsia="Times New Roman" w:hAnsi="Verdana" w:cs="Times New Roman"/>
                <w:color w:val="000000"/>
                <w:lang w:eastAsia="nl-NL"/>
              </w:rPr>
              <w:t>RWS</w:t>
            </w:r>
          </w:p>
        </w:tc>
        <w:tc>
          <w:tcPr>
            <w:tcW w:w="714" w:type="dxa"/>
            <w:tcBorders>
              <w:top w:val="single" w:sz="4" w:space="0" w:color="auto"/>
              <w:left w:val="nil"/>
              <w:bottom w:val="single" w:sz="4" w:space="0" w:color="auto"/>
              <w:right w:val="single" w:sz="4" w:space="0" w:color="auto"/>
            </w:tcBorders>
            <w:shd w:val="clear" w:color="auto" w:fill="auto"/>
            <w:hideMark/>
          </w:tcPr>
          <w:p w:rsidR="003E1A69" w:rsidRPr="003E1A69" w:rsidRDefault="003E1A69" w:rsidP="003E1A69">
            <w:pPr>
              <w:jc w:val="cente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75</w:t>
            </w:r>
          </w:p>
        </w:tc>
        <w:tc>
          <w:tcPr>
            <w:tcW w:w="6232" w:type="dxa"/>
            <w:tcBorders>
              <w:top w:val="nil"/>
              <w:left w:val="nil"/>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Het gemiddeld aantal systemen in eigendom betreft de daadwerkelijk operationele systemen. Dat wil zeggen het aantal aangeschafte systemen minus het aantal afgevoerde systemen.</w:t>
            </w:r>
            <w:r w:rsidRPr="003E1A69">
              <w:rPr>
                <w:rFonts w:ascii="Verdana" w:eastAsia="Times New Roman" w:hAnsi="Verdana" w:cs="Times New Roman"/>
                <w:color w:val="000000"/>
                <w:lang w:eastAsia="nl-NL"/>
              </w:rPr>
              <w:br/>
              <w:t xml:space="preserve">Dit aantal zal in de eerste jaren van de looptijd van het contract worden opgebouwd. </w:t>
            </w:r>
          </w:p>
        </w:tc>
      </w:tr>
      <w:tr w:rsidR="003E1A69" w:rsidRPr="003E1A69" w:rsidTr="00AF65A2">
        <w:trPr>
          <w:trHeight w:val="977"/>
        </w:trPr>
        <w:tc>
          <w:tcPr>
            <w:tcW w:w="3119" w:type="dxa"/>
            <w:tcBorders>
              <w:top w:val="nil"/>
              <w:left w:val="single" w:sz="4" w:space="0" w:color="auto"/>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complete systemen niet uitgeleend</w:t>
            </w:r>
          </w:p>
        </w:tc>
        <w:tc>
          <w:tcPr>
            <w:tcW w:w="714" w:type="dxa"/>
            <w:tcBorders>
              <w:top w:val="nil"/>
              <w:left w:val="nil"/>
              <w:bottom w:val="single" w:sz="4" w:space="0" w:color="auto"/>
              <w:right w:val="single" w:sz="4" w:space="0" w:color="auto"/>
            </w:tcBorders>
            <w:shd w:val="clear" w:color="auto" w:fill="auto"/>
            <w:hideMark/>
          </w:tcPr>
          <w:p w:rsidR="003E1A69" w:rsidRPr="003E1A69" w:rsidRDefault="003E1A69" w:rsidP="003E1A69">
            <w:pPr>
              <w:jc w:val="cente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20</w:t>
            </w:r>
          </w:p>
        </w:tc>
        <w:tc>
          <w:tcPr>
            <w:tcW w:w="6232" w:type="dxa"/>
            <w:tcBorders>
              <w:top w:val="nil"/>
              <w:left w:val="nil"/>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 xml:space="preserve">Het gemiddeld aantal systemen niet uitgeleend betreft de systemen in eigendom minus de uitgeleende systemen. De niet uitgeleende systemen zitten of in het onderhoudsproces of liggen in de voorraad bij de opdrachtnemer. </w:t>
            </w:r>
          </w:p>
        </w:tc>
      </w:tr>
      <w:tr w:rsidR="003E1A69" w:rsidRPr="003E1A69" w:rsidTr="00AF65A2">
        <w:trPr>
          <w:trHeight w:val="1416"/>
        </w:trPr>
        <w:tc>
          <w:tcPr>
            <w:tcW w:w="3119" w:type="dxa"/>
            <w:tcBorders>
              <w:top w:val="nil"/>
              <w:left w:val="single" w:sz="4" w:space="0" w:color="auto"/>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uit te geven complete systemen per jaar</w:t>
            </w:r>
          </w:p>
        </w:tc>
        <w:tc>
          <w:tcPr>
            <w:tcW w:w="714" w:type="dxa"/>
            <w:tcBorders>
              <w:top w:val="nil"/>
              <w:left w:val="nil"/>
              <w:bottom w:val="single" w:sz="4" w:space="0" w:color="auto"/>
              <w:right w:val="single" w:sz="4" w:space="0" w:color="auto"/>
            </w:tcBorders>
            <w:shd w:val="clear" w:color="auto" w:fill="auto"/>
            <w:hideMark/>
          </w:tcPr>
          <w:p w:rsidR="003E1A69" w:rsidRPr="003E1A69" w:rsidRDefault="003E1A69" w:rsidP="003E1A69">
            <w:pPr>
              <w:jc w:val="cente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55</w:t>
            </w:r>
          </w:p>
        </w:tc>
        <w:tc>
          <w:tcPr>
            <w:tcW w:w="6232" w:type="dxa"/>
            <w:tcBorders>
              <w:top w:val="nil"/>
              <w:left w:val="nil"/>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uit te geven systemen zijn de aantallen systemen die bedrijfsklaar uitgegeven worden per jaar. Er kunnen meerdere systemen tegelijk in een aanvraag / uitgifte zitten.</w:t>
            </w:r>
            <w:r w:rsidRPr="003E1A69">
              <w:rPr>
                <w:rFonts w:ascii="Verdana" w:eastAsia="Times New Roman" w:hAnsi="Verdana" w:cs="Times New Roman"/>
                <w:color w:val="000000"/>
                <w:lang w:eastAsia="nl-NL"/>
              </w:rPr>
              <w:br/>
              <w:t>Dit aantal is onder andere afhankelijk van de voorschriften voor preventief Onderhoud en/of kalibratie. Het kengetal is gebaseerd op jaarlijks onderhoud.</w:t>
            </w:r>
          </w:p>
        </w:tc>
      </w:tr>
      <w:tr w:rsidR="003E1A69" w:rsidRPr="003E1A69" w:rsidTr="00AF65A2">
        <w:trPr>
          <w:trHeight w:val="1408"/>
        </w:trPr>
        <w:tc>
          <w:tcPr>
            <w:tcW w:w="3119" w:type="dxa"/>
            <w:tcBorders>
              <w:top w:val="nil"/>
              <w:left w:val="single" w:sz="4" w:space="0" w:color="auto"/>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in te nemen complete systemen per jaar</w:t>
            </w:r>
          </w:p>
        </w:tc>
        <w:tc>
          <w:tcPr>
            <w:tcW w:w="714" w:type="dxa"/>
            <w:tcBorders>
              <w:top w:val="nil"/>
              <w:left w:val="nil"/>
              <w:bottom w:val="single" w:sz="4" w:space="0" w:color="auto"/>
              <w:right w:val="single" w:sz="4" w:space="0" w:color="auto"/>
            </w:tcBorders>
            <w:shd w:val="clear" w:color="auto" w:fill="auto"/>
            <w:hideMark/>
          </w:tcPr>
          <w:p w:rsidR="003E1A69" w:rsidRPr="003E1A69" w:rsidRDefault="003E1A69" w:rsidP="003E1A69">
            <w:pPr>
              <w:jc w:val="cente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55</w:t>
            </w:r>
          </w:p>
        </w:tc>
        <w:tc>
          <w:tcPr>
            <w:tcW w:w="6232" w:type="dxa"/>
            <w:tcBorders>
              <w:top w:val="nil"/>
              <w:left w:val="nil"/>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in te nemen systemen zijn de aantallen systemen die vanuit de gebruiker retour komen per jaar. Een inname kan meerdere in te nemen systemen bevatten.</w:t>
            </w:r>
            <w:r w:rsidRPr="003E1A69">
              <w:rPr>
                <w:rFonts w:ascii="Verdana" w:eastAsia="Times New Roman" w:hAnsi="Verdana" w:cs="Times New Roman"/>
                <w:color w:val="000000"/>
                <w:lang w:eastAsia="nl-NL"/>
              </w:rPr>
              <w:br/>
              <w:t>Dit aantal heeft een afhankelijkheidsrelatie met de voorschriften voor preventief Onderhoud en/of kalibratie. Het kengetal is gebaseerd op jaarlijks onderhoud.</w:t>
            </w:r>
          </w:p>
        </w:tc>
      </w:tr>
      <w:tr w:rsidR="003E1A69" w:rsidRPr="003E1A69" w:rsidTr="00AF65A2">
        <w:trPr>
          <w:trHeight w:val="2265"/>
        </w:trPr>
        <w:tc>
          <w:tcPr>
            <w:tcW w:w="3119" w:type="dxa"/>
            <w:tcBorders>
              <w:top w:val="nil"/>
              <w:left w:val="single" w:sz="4" w:space="0" w:color="auto"/>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transportritten per jaar</w:t>
            </w:r>
          </w:p>
        </w:tc>
        <w:tc>
          <w:tcPr>
            <w:tcW w:w="714" w:type="dxa"/>
            <w:tcBorders>
              <w:top w:val="nil"/>
              <w:left w:val="nil"/>
              <w:bottom w:val="single" w:sz="4" w:space="0" w:color="auto"/>
              <w:right w:val="single" w:sz="4" w:space="0" w:color="auto"/>
            </w:tcBorders>
            <w:shd w:val="clear" w:color="auto" w:fill="auto"/>
            <w:hideMark/>
          </w:tcPr>
          <w:p w:rsidR="003E1A69" w:rsidRPr="003E1A69" w:rsidRDefault="003E1A69" w:rsidP="003E1A69">
            <w:pPr>
              <w:jc w:val="cente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65</w:t>
            </w:r>
          </w:p>
        </w:tc>
        <w:tc>
          <w:tcPr>
            <w:tcW w:w="6232" w:type="dxa"/>
            <w:tcBorders>
              <w:top w:val="nil"/>
              <w:left w:val="nil"/>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transportritten per jaar bestaat uit transporten voor uitgifte en transporten voor inname. Historisch blijkt dat er vaak meerdere systemen gelijktijdig aangevraagd / ingeleverd en getransporteerd worden.</w:t>
            </w:r>
            <w:r w:rsidRPr="003E1A69">
              <w:rPr>
                <w:rFonts w:ascii="Verdana" w:eastAsia="Times New Roman" w:hAnsi="Verdana" w:cs="Times New Roman"/>
                <w:color w:val="000000"/>
                <w:lang w:eastAsia="nl-NL"/>
              </w:rPr>
              <w:br/>
              <w:t xml:space="preserve">Transporten vinden plaats naar </w:t>
            </w:r>
            <w:r w:rsidR="00E42806" w:rsidRPr="003E1A69">
              <w:rPr>
                <w:rFonts w:ascii="Verdana" w:eastAsia="Times New Roman" w:hAnsi="Verdana" w:cs="Times New Roman"/>
                <w:color w:val="000000"/>
                <w:lang w:eastAsia="nl-NL"/>
              </w:rPr>
              <w:t>Nederlandse</w:t>
            </w:r>
            <w:r w:rsidRPr="003E1A69">
              <w:rPr>
                <w:rFonts w:ascii="Verdana" w:eastAsia="Times New Roman" w:hAnsi="Verdana" w:cs="Times New Roman"/>
                <w:color w:val="000000"/>
                <w:lang w:eastAsia="nl-NL"/>
              </w:rPr>
              <w:t xml:space="preserve"> RWS locaties; gebruikelijk Arnhem, Den Helder, Vlissingen, Lelystad, Assen, Delft, Dordrecht, Middelburg, Eijsden.</w:t>
            </w:r>
            <w:r w:rsidRPr="003E1A69">
              <w:rPr>
                <w:rFonts w:ascii="Verdana" w:eastAsia="Times New Roman" w:hAnsi="Verdana" w:cs="Times New Roman"/>
                <w:color w:val="000000"/>
                <w:lang w:eastAsia="nl-NL"/>
              </w:rPr>
              <w:br/>
              <w:t>Dit aantal is onder andere afhankelijk van de voorschriften voor preventief Onderhoud en/of kalibratie. Het kengetal is gebaseerd op jaarlijks onderhoud.</w:t>
            </w:r>
          </w:p>
        </w:tc>
      </w:tr>
      <w:tr w:rsidR="003E1A69" w:rsidRPr="003E1A69" w:rsidTr="00AF65A2">
        <w:trPr>
          <w:trHeight w:val="675"/>
        </w:trPr>
        <w:tc>
          <w:tcPr>
            <w:tcW w:w="3119" w:type="dxa"/>
            <w:tcBorders>
              <w:top w:val="nil"/>
              <w:left w:val="single" w:sz="4" w:space="0" w:color="auto"/>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Aantal aanvragers</w:t>
            </w:r>
          </w:p>
        </w:tc>
        <w:tc>
          <w:tcPr>
            <w:tcW w:w="714" w:type="dxa"/>
            <w:tcBorders>
              <w:top w:val="nil"/>
              <w:left w:val="nil"/>
              <w:bottom w:val="single" w:sz="4" w:space="0" w:color="auto"/>
              <w:right w:val="single" w:sz="4" w:space="0" w:color="auto"/>
            </w:tcBorders>
            <w:shd w:val="clear" w:color="auto" w:fill="auto"/>
            <w:hideMark/>
          </w:tcPr>
          <w:p w:rsidR="003E1A69" w:rsidRPr="003E1A69" w:rsidRDefault="003E1A69" w:rsidP="003E1A69">
            <w:pPr>
              <w:jc w:val="cente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 xml:space="preserve"> 8-18</w:t>
            </w:r>
          </w:p>
        </w:tc>
        <w:tc>
          <w:tcPr>
            <w:tcW w:w="6232" w:type="dxa"/>
            <w:tcBorders>
              <w:top w:val="nil"/>
              <w:left w:val="nil"/>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Aantal aanvragers zijn het aantal geregistreerde gebruikers die aanvragen indienen en verantwoordelijk zijn voor de systemen als lener.</w:t>
            </w:r>
          </w:p>
        </w:tc>
      </w:tr>
      <w:tr w:rsidR="003E1A69" w:rsidRPr="003E1A69" w:rsidTr="00AF65A2">
        <w:trPr>
          <w:trHeight w:val="1125"/>
        </w:trPr>
        <w:tc>
          <w:tcPr>
            <w:tcW w:w="3119" w:type="dxa"/>
            <w:tcBorders>
              <w:top w:val="nil"/>
              <w:left w:val="single" w:sz="4" w:space="0" w:color="auto"/>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Gemiddeld aantal aanvragen voor ondersteuning op afstand per jaar na implementatiefase</w:t>
            </w:r>
          </w:p>
        </w:tc>
        <w:tc>
          <w:tcPr>
            <w:tcW w:w="714" w:type="dxa"/>
            <w:tcBorders>
              <w:top w:val="nil"/>
              <w:left w:val="nil"/>
              <w:bottom w:val="single" w:sz="4" w:space="0" w:color="auto"/>
              <w:right w:val="single" w:sz="4" w:space="0" w:color="auto"/>
            </w:tcBorders>
            <w:shd w:val="clear" w:color="auto" w:fill="auto"/>
            <w:hideMark/>
          </w:tcPr>
          <w:p w:rsidR="003E1A69" w:rsidRPr="003E1A69" w:rsidRDefault="003E1A69" w:rsidP="003E1A69">
            <w:pPr>
              <w:jc w:val="cente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8</w:t>
            </w:r>
          </w:p>
        </w:tc>
        <w:tc>
          <w:tcPr>
            <w:tcW w:w="6232" w:type="dxa"/>
            <w:tcBorders>
              <w:top w:val="nil"/>
              <w:left w:val="nil"/>
              <w:bottom w:val="single" w:sz="4" w:space="0" w:color="auto"/>
              <w:right w:val="single" w:sz="4" w:space="0" w:color="auto"/>
            </w:tcBorders>
            <w:shd w:val="clear" w:color="auto" w:fill="auto"/>
            <w:hideMark/>
          </w:tcPr>
          <w:p w:rsidR="003E1A69" w:rsidRPr="003E1A69" w:rsidRDefault="003E1A69" w:rsidP="003E1A69">
            <w:pPr>
              <w:rPr>
                <w:rFonts w:ascii="Verdana" w:eastAsia="Times New Roman" w:hAnsi="Verdana" w:cs="Times New Roman"/>
                <w:color w:val="000000"/>
                <w:lang w:eastAsia="nl-NL"/>
              </w:rPr>
            </w:pPr>
            <w:r w:rsidRPr="003E1A69">
              <w:rPr>
                <w:rFonts w:ascii="Verdana" w:eastAsia="Times New Roman" w:hAnsi="Verdana" w:cs="Times New Roman"/>
                <w:color w:val="000000"/>
                <w:lang w:eastAsia="nl-NL"/>
              </w:rPr>
              <w:t xml:space="preserve">Het aantal gebruikersvragen per jaar zal in de implementatiefase hoog zijn afhankelijk van de technische impact.  Naar verwachting zal het aantal aanvragen om </w:t>
            </w:r>
            <w:r w:rsidR="00E42806" w:rsidRPr="003E1A69">
              <w:rPr>
                <w:rFonts w:ascii="Verdana" w:eastAsia="Times New Roman" w:hAnsi="Verdana" w:cs="Times New Roman"/>
                <w:color w:val="000000"/>
                <w:lang w:eastAsia="nl-NL"/>
              </w:rPr>
              <w:t>ondersteuning</w:t>
            </w:r>
            <w:r w:rsidRPr="003E1A69">
              <w:rPr>
                <w:rFonts w:ascii="Verdana" w:eastAsia="Times New Roman" w:hAnsi="Verdana" w:cs="Times New Roman"/>
                <w:color w:val="000000"/>
                <w:lang w:eastAsia="nl-NL"/>
              </w:rPr>
              <w:t xml:space="preserve"> gedurende de looptijd van het contract verminderen.</w:t>
            </w:r>
          </w:p>
        </w:tc>
      </w:tr>
    </w:tbl>
    <w:p w:rsidR="003E1A69" w:rsidRPr="00440FD0" w:rsidRDefault="003E1A69" w:rsidP="00241548">
      <w:pPr>
        <w:rPr>
          <w:b/>
          <w:sz w:val="22"/>
          <w:szCs w:val="22"/>
        </w:rPr>
      </w:pPr>
    </w:p>
    <w:sectPr w:rsidR="003E1A69" w:rsidRPr="00440FD0" w:rsidSect="00E264A4">
      <w:headerReference w:type="default" r:id="rId9"/>
      <w:footerReference w:type="default" r:id="rId10"/>
      <w:pgSz w:w="11906" w:h="16838"/>
      <w:pgMar w:top="1843" w:right="1700" w:bottom="1417"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1A5" w:rsidRDefault="00AB71A5" w:rsidP="0088501B">
      <w:r>
        <w:separator/>
      </w:r>
    </w:p>
  </w:endnote>
  <w:endnote w:type="continuationSeparator" w:id="0">
    <w:p w:rsidR="00AB71A5" w:rsidRDefault="00AB71A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954209"/>
      <w:docPartObj>
        <w:docPartGallery w:val="Page Numbers (Bottom of Page)"/>
        <w:docPartUnique/>
      </w:docPartObj>
    </w:sdtPr>
    <w:sdtEndPr/>
    <w:sdtContent>
      <w:sdt>
        <w:sdtPr>
          <w:id w:val="860082579"/>
          <w:docPartObj>
            <w:docPartGallery w:val="Page Numbers (Top of Page)"/>
            <w:docPartUnique/>
          </w:docPartObj>
        </w:sdtPr>
        <w:sdtEndPr/>
        <w:sdtContent>
          <w:p w:rsidR="009D6BF0" w:rsidRDefault="009D6BF0" w:rsidP="009D6BF0">
            <w:pPr>
              <w:pStyle w:val="Voettekst"/>
              <w:jc w:val="right"/>
            </w:pPr>
          </w:p>
          <w:p w:rsidR="009D6BF0" w:rsidRDefault="009D6BF0" w:rsidP="009D6BF0">
            <w:pPr>
              <w:pStyle w:val="Voettekst"/>
              <w:jc w:val="right"/>
            </w:pPr>
          </w:p>
          <w:p w:rsidR="009D6BF0" w:rsidRDefault="009D6BF0" w:rsidP="009D6BF0">
            <w:pPr>
              <w:pStyle w:val="Voettekst"/>
              <w:jc w:val="right"/>
            </w:pPr>
            <w:r w:rsidRPr="004C2401">
              <w:rPr>
                <w:sz w:val="16"/>
                <w:szCs w:val="16"/>
              </w:rPr>
              <w:t xml:space="preserve">Pagina </w:t>
            </w:r>
            <w:r w:rsidRPr="004C2401">
              <w:rPr>
                <w:bCs/>
                <w:sz w:val="16"/>
                <w:szCs w:val="16"/>
              </w:rPr>
              <w:fldChar w:fldCharType="begin"/>
            </w:r>
            <w:r w:rsidRPr="004C2401">
              <w:rPr>
                <w:bCs/>
                <w:sz w:val="16"/>
                <w:szCs w:val="16"/>
              </w:rPr>
              <w:instrText>PAGE</w:instrText>
            </w:r>
            <w:r w:rsidRPr="004C2401">
              <w:rPr>
                <w:bCs/>
                <w:sz w:val="16"/>
                <w:szCs w:val="16"/>
              </w:rPr>
              <w:fldChar w:fldCharType="separate"/>
            </w:r>
            <w:r w:rsidR="00E264A4">
              <w:rPr>
                <w:bCs/>
                <w:noProof/>
                <w:sz w:val="16"/>
                <w:szCs w:val="16"/>
              </w:rPr>
              <w:t>1</w:t>
            </w:r>
            <w:r w:rsidRPr="004C2401">
              <w:rPr>
                <w:bCs/>
                <w:sz w:val="16"/>
                <w:szCs w:val="16"/>
              </w:rPr>
              <w:fldChar w:fldCharType="end"/>
            </w:r>
            <w:r w:rsidRPr="004C2401">
              <w:rPr>
                <w:sz w:val="16"/>
                <w:szCs w:val="16"/>
              </w:rPr>
              <w:t xml:space="preserve"> van </w:t>
            </w:r>
            <w:r w:rsidRPr="004C2401">
              <w:rPr>
                <w:bCs/>
                <w:sz w:val="16"/>
                <w:szCs w:val="16"/>
              </w:rPr>
              <w:fldChar w:fldCharType="begin"/>
            </w:r>
            <w:r w:rsidRPr="004C2401">
              <w:rPr>
                <w:bCs/>
                <w:sz w:val="16"/>
                <w:szCs w:val="16"/>
              </w:rPr>
              <w:instrText>NUMPAGES</w:instrText>
            </w:r>
            <w:r w:rsidRPr="004C2401">
              <w:rPr>
                <w:bCs/>
                <w:sz w:val="16"/>
                <w:szCs w:val="16"/>
              </w:rPr>
              <w:fldChar w:fldCharType="separate"/>
            </w:r>
            <w:r w:rsidR="00E264A4">
              <w:rPr>
                <w:bCs/>
                <w:noProof/>
                <w:sz w:val="16"/>
                <w:szCs w:val="16"/>
              </w:rPr>
              <w:t>1</w:t>
            </w:r>
            <w:r w:rsidRPr="004C2401">
              <w:rPr>
                <w:bCs/>
                <w:sz w:val="16"/>
                <w:szCs w:val="16"/>
              </w:rPr>
              <w:fldChar w:fldCharType="end"/>
            </w:r>
          </w:p>
        </w:sdtContent>
      </w:sdt>
    </w:sdtContent>
  </w:sdt>
  <w:p w:rsidR="009D6BF0" w:rsidRDefault="009D6BF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1A5" w:rsidRDefault="00AB71A5" w:rsidP="0088501B">
      <w:r>
        <w:separator/>
      </w:r>
    </w:p>
  </w:footnote>
  <w:footnote w:type="continuationSeparator" w:id="0">
    <w:p w:rsidR="00AB71A5" w:rsidRDefault="00AB71A5"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4A4" w:rsidRDefault="00E264A4">
    <w:pPr>
      <w:pStyle w:val="Koptekst"/>
    </w:pPr>
    <w:r>
      <w:rPr>
        <w:noProof/>
      </w:rPr>
      <w:drawing>
        <wp:anchor distT="0" distB="0" distL="114300" distR="114300" simplePos="0" relativeHeight="251659264" behindDoc="0" locked="0" layoutInCell="1" allowOverlap="1" wp14:anchorId="5B8C15D2" wp14:editId="282E0D6E">
          <wp:simplePos x="0" y="0"/>
          <wp:positionH relativeFrom="page">
            <wp:posOffset>3666490</wp:posOffset>
          </wp:positionH>
          <wp:positionV relativeFrom="page">
            <wp:posOffset>-19050</wp:posOffset>
          </wp:positionV>
          <wp:extent cx="467995" cy="1580515"/>
          <wp:effectExtent l="0" t="0" r="8255" b="635"/>
          <wp:wrapNone/>
          <wp:docPr id="3"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82458"/>
    <w:multiLevelType w:val="multilevel"/>
    <w:tmpl w:val="6A8E5BD4"/>
    <w:numStyleLink w:val="Stijl2"/>
  </w:abstractNum>
  <w:abstractNum w:abstractNumId="15">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CB79D8"/>
    <w:multiLevelType w:val="multilevel"/>
    <w:tmpl w:val="06962652"/>
    <w:numStyleLink w:val="Lijststijl"/>
  </w:abstractNum>
  <w:abstractNum w:abstractNumId="18">
    <w:nsid w:val="31E853D2"/>
    <w:multiLevelType w:val="multilevel"/>
    <w:tmpl w:val="06962652"/>
    <w:numStyleLink w:val="Lijststijl"/>
  </w:abstractNum>
  <w:abstractNum w:abstractNumId="19">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A6389A"/>
    <w:multiLevelType w:val="multilevel"/>
    <w:tmpl w:val="6A8E5BD4"/>
    <w:numStyleLink w:val="Stijl2"/>
  </w:abstractNum>
  <w:abstractNum w:abstractNumId="21">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7DB631B"/>
    <w:multiLevelType w:val="multilevel"/>
    <w:tmpl w:val="06962652"/>
    <w:numStyleLink w:val="Lijststijl"/>
  </w:abstractNum>
  <w:abstractNum w:abstractNumId="2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nsid w:val="5CAF5D0D"/>
    <w:multiLevelType w:val="multilevel"/>
    <w:tmpl w:val="06962652"/>
    <w:numStyleLink w:val="Lijststijl"/>
  </w:abstractNum>
  <w:abstractNum w:abstractNumId="26">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FD0"/>
    <w:rsid w:val="000E1F3B"/>
    <w:rsid w:val="001D6F03"/>
    <w:rsid w:val="00241548"/>
    <w:rsid w:val="002A6578"/>
    <w:rsid w:val="002B1092"/>
    <w:rsid w:val="002E0FD2"/>
    <w:rsid w:val="0038549E"/>
    <w:rsid w:val="003C4BF2"/>
    <w:rsid w:val="003E1A69"/>
    <w:rsid w:val="0040142D"/>
    <w:rsid w:val="0040571B"/>
    <w:rsid w:val="00440FD0"/>
    <w:rsid w:val="00450447"/>
    <w:rsid w:val="004B0EA1"/>
    <w:rsid w:val="004C1ED2"/>
    <w:rsid w:val="004D766D"/>
    <w:rsid w:val="005A4FBE"/>
    <w:rsid w:val="005D2CF1"/>
    <w:rsid w:val="005E046F"/>
    <w:rsid w:val="006006F5"/>
    <w:rsid w:val="0061111B"/>
    <w:rsid w:val="006D2E66"/>
    <w:rsid w:val="006F42D7"/>
    <w:rsid w:val="0073653F"/>
    <w:rsid w:val="007F4AEA"/>
    <w:rsid w:val="0088501B"/>
    <w:rsid w:val="008E3581"/>
    <w:rsid w:val="00905289"/>
    <w:rsid w:val="009C5CF5"/>
    <w:rsid w:val="009D6BF0"/>
    <w:rsid w:val="00A32591"/>
    <w:rsid w:val="00A77ABF"/>
    <w:rsid w:val="00A863E9"/>
    <w:rsid w:val="00AB71A5"/>
    <w:rsid w:val="00AF65A2"/>
    <w:rsid w:val="00B022C4"/>
    <w:rsid w:val="00B559E9"/>
    <w:rsid w:val="00B72222"/>
    <w:rsid w:val="00B80650"/>
    <w:rsid w:val="00C36FAA"/>
    <w:rsid w:val="00C757C7"/>
    <w:rsid w:val="00CA55CC"/>
    <w:rsid w:val="00DA3555"/>
    <w:rsid w:val="00E264A4"/>
    <w:rsid w:val="00E42806"/>
    <w:rsid w:val="00E6750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OngenummerdeKopBijlage">
    <w:name w:val="OngenummerdeKopBijlage"/>
    <w:basedOn w:val="Standaard"/>
    <w:next w:val="Standaard"/>
    <w:link w:val="OngenummerdeKopBijlageChar"/>
    <w:rsid w:val="00AF65A2"/>
    <w:pPr>
      <w:pageBreakBefore/>
      <w:tabs>
        <w:tab w:val="left" w:pos="227"/>
        <w:tab w:val="left" w:pos="454"/>
        <w:tab w:val="left" w:pos="680"/>
      </w:tabs>
      <w:autoSpaceDE w:val="0"/>
      <w:autoSpaceDN w:val="0"/>
      <w:adjustRightInd w:val="0"/>
      <w:spacing w:after="660" w:line="300" w:lineRule="atLeast"/>
    </w:pPr>
    <w:rPr>
      <w:rFonts w:ascii="Verdana" w:eastAsia="DejaVu Sans" w:hAnsi="Verdana" w:cs="Times New Roman"/>
      <w:sz w:val="24"/>
      <w:szCs w:val="20"/>
      <w:lang w:eastAsia="nl-NL"/>
    </w:rPr>
  </w:style>
  <w:style w:type="character" w:customStyle="1" w:styleId="OngenummerdeKopBijlageChar">
    <w:name w:val="OngenummerdeKopBijlage Char"/>
    <w:link w:val="OngenummerdeKopBijlage"/>
    <w:locked/>
    <w:rsid w:val="00AF65A2"/>
    <w:rPr>
      <w:rFonts w:ascii="Verdana" w:eastAsia="DejaVu Sans" w:hAnsi="Verdana" w:cs="Times New Roman"/>
      <w:sz w:val="24"/>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OngenummerdeKopBijlage">
    <w:name w:val="OngenummerdeKopBijlage"/>
    <w:basedOn w:val="Standaard"/>
    <w:next w:val="Standaard"/>
    <w:link w:val="OngenummerdeKopBijlageChar"/>
    <w:rsid w:val="00AF65A2"/>
    <w:pPr>
      <w:pageBreakBefore/>
      <w:tabs>
        <w:tab w:val="left" w:pos="227"/>
        <w:tab w:val="left" w:pos="454"/>
        <w:tab w:val="left" w:pos="680"/>
      </w:tabs>
      <w:autoSpaceDE w:val="0"/>
      <w:autoSpaceDN w:val="0"/>
      <w:adjustRightInd w:val="0"/>
      <w:spacing w:after="660" w:line="300" w:lineRule="atLeast"/>
    </w:pPr>
    <w:rPr>
      <w:rFonts w:ascii="Verdana" w:eastAsia="DejaVu Sans" w:hAnsi="Verdana" w:cs="Times New Roman"/>
      <w:sz w:val="24"/>
      <w:szCs w:val="20"/>
      <w:lang w:eastAsia="nl-NL"/>
    </w:rPr>
  </w:style>
  <w:style w:type="character" w:customStyle="1" w:styleId="OngenummerdeKopBijlageChar">
    <w:name w:val="OngenummerdeKopBijlage Char"/>
    <w:link w:val="OngenummerdeKopBijlage"/>
    <w:locked/>
    <w:rsid w:val="00AF65A2"/>
    <w:rPr>
      <w:rFonts w:ascii="Verdana" w:eastAsia="DejaVu Sans" w:hAnsi="Verdana" w:cs="Times New Roman"/>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7622922">
      <w:bodyDiv w:val="1"/>
      <w:marLeft w:val="0"/>
      <w:marRight w:val="0"/>
      <w:marTop w:val="0"/>
      <w:marBottom w:val="0"/>
      <w:divBdr>
        <w:top w:val="none" w:sz="0" w:space="0" w:color="auto"/>
        <w:left w:val="none" w:sz="0" w:space="0" w:color="auto"/>
        <w:bottom w:val="none" w:sz="0" w:space="0" w:color="auto"/>
        <w:right w:val="none" w:sz="0" w:space="0" w:color="auto"/>
      </w:divBdr>
    </w:div>
    <w:div w:id="21248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1B3F6-74BB-47F3-8A6E-002385BB5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469</Words>
  <Characters>2580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Smeets, Ciska</dc:creator>
  <cp:lastModifiedBy>Werf, Alfred van der (CIV)</cp:lastModifiedBy>
  <cp:revision>9</cp:revision>
  <dcterms:created xsi:type="dcterms:W3CDTF">2018-04-05T11:58:00Z</dcterms:created>
  <dcterms:modified xsi:type="dcterms:W3CDTF">2018-04-17T11:35:00Z</dcterms:modified>
</cp:coreProperties>
</file>